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新疆喀什地区巴楚县自然资源局2019年度部门决算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rPr>
          <w:rFonts w:ascii="仿宋_GB2312" w:eastAsia="仿宋_GB2312"/>
          <w:sz w:val="32"/>
          <w:szCs w:val="32"/>
        </w:rPr>
      </w:pPr>
      <w:r>
        <w:rPr>
          <w:rFonts w:hint="eastAsia" w:ascii="仿宋_GB2312" w:eastAsia="仿宋_GB2312"/>
          <w:sz w:val="32"/>
          <w:szCs w:val="32"/>
        </w:rPr>
        <w:t xml:space="preserve">    承担保护与合理利用土地资源、矿产资源、海洋资源等自然资源的责任；承担规范国土资源管理秩序的责任；承担优化配置国土资源的责任；负责规范国土资源权属管理；承担全国耕地保护的责任；确保规划确定的耕地保有量和基本农田面积不减少；承担及时准确提供全国土地利用各种数据的责任；承担节约集约利用土地资源的责任；承担规范国土资源市场秩序的责任；依法征收资源收益，规范、监督资金使用，拟订土地、矿产资源参与经济调控的政策措施等等。</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hint="eastAsia" w:ascii="仿宋_GB2312" w:eastAsia="仿宋_GB2312"/>
          <w:sz w:val="32"/>
          <w:szCs w:val="32"/>
        </w:rPr>
        <w:t>新疆喀什地区巴楚县自然资源局2</w:t>
      </w:r>
      <w:r>
        <w:rPr>
          <w:rFonts w:ascii="仿宋_GB2312" w:eastAsia="仿宋_GB2312"/>
          <w:sz w:val="32"/>
          <w:szCs w:val="32"/>
        </w:rPr>
        <w:t>019</w:t>
      </w:r>
      <w:r>
        <w:rPr>
          <w:rFonts w:hint="eastAsia" w:ascii="仿宋_GB2312" w:eastAsia="仿宋_GB2312"/>
          <w:sz w:val="32"/>
          <w:szCs w:val="32"/>
        </w:rPr>
        <w:t>年度，实有人数54人，其中：在职人员54人，离休人员0人，退休人员0人。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从部门决算单位构成看，新疆喀什地区巴楚县自然资源局部门决算包括：新疆喀什地区巴楚县自然资源局决算。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2019年度本年收入4,531.03万元，与上年相比，增加3,779.04万元，增长502.54%，主要原因是：</w:t>
      </w:r>
      <w:r>
        <w:rPr>
          <w:rFonts w:hint="eastAsia" w:ascii="仿宋_GB2312" w:eastAsia="仿宋_GB2312"/>
          <w:color w:val="000000" w:themeColor="text1"/>
          <w:sz w:val="32"/>
          <w:szCs w:val="32"/>
          <w14:textFill>
            <w14:solidFill>
              <w14:schemeClr w14:val="tx1"/>
            </w14:solidFill>
          </w14:textFill>
        </w:rPr>
        <w:t>农用地规模化农田建设等项目增加。</w:t>
      </w:r>
      <w:r>
        <w:rPr>
          <w:rFonts w:hint="eastAsia" w:ascii="仿宋_GB2312" w:eastAsia="仿宋_GB2312"/>
          <w:sz w:val="32"/>
          <w:szCs w:val="32"/>
        </w:rPr>
        <w:t>本年支出4,531.03万元，与上年相比，增加3,516.84万元，增长346.76%，主要原因是：</w:t>
      </w:r>
      <w:r>
        <w:rPr>
          <w:rFonts w:hint="eastAsia" w:ascii="仿宋_GB2312" w:eastAsia="仿宋_GB2312"/>
          <w:color w:val="000000" w:themeColor="text1"/>
          <w:sz w:val="32"/>
          <w:szCs w:val="32"/>
          <w14:textFill>
            <w14:solidFill>
              <w14:schemeClr w14:val="tx1"/>
            </w14:solidFill>
          </w14:textFill>
        </w:rPr>
        <w:t>农用地规模化农田建设等项目增加。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年度本年收入4,531.03万元，其中：财政拨款收入4,057.03万元，占89.54%；上级补助收入0万元，占0%；事业收入0万元，占0%；经营收入0万元，占0%；附属单位上缴收入0万元，占0%；其他收入474万元，占10.46%。</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2019年度本年支出4,531.03万元，其中：基本支出703.46万元，占15.53%；项目支出3,827.57万元，占84.47%；上缴上级支出0万元，占0%；经营支出0万元，占0%；对附属单位补助支出0万元，占0%。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2019年度财政拨款收入4,057.03万元，与上年相比，增加3,305.04万元，增长439.51%，主要原因是：农用地规模化农田建设等项目增加。财政拨款支出4,057.03万元，与上年相比，增加3,042.84万元，增长300.03%，主要原因是：</w:t>
      </w:r>
      <w:r>
        <w:rPr>
          <w:rFonts w:ascii="仿宋_GB2312" w:eastAsia="仿宋_GB2312"/>
          <w:sz w:val="32"/>
          <w:szCs w:val="32"/>
        </w:rPr>
        <w:t>农用地规模化农田建设等项目增加。</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color w:val="000000" w:themeColor="text1"/>
          <w:sz w:val="32"/>
          <w:szCs w:val="32"/>
          <w14:textFill>
            <w14:solidFill>
              <w14:schemeClr w14:val="tx1"/>
            </w14:solidFill>
          </w14:textFill>
        </w:rPr>
        <w:t>2,783.80</w:t>
      </w:r>
      <w:r>
        <w:rPr>
          <w:rFonts w:hint="eastAsia" w:ascii="仿宋_GB2312" w:eastAsia="仿宋_GB2312"/>
          <w:sz w:val="32"/>
          <w:szCs w:val="32"/>
        </w:rPr>
        <w:t>万元，决算数4,057.03万元</w:t>
      </w:r>
      <w:r>
        <w:rPr>
          <w:rFonts w:ascii="仿宋_GB2312" w:eastAsia="仿宋_GB2312"/>
          <w:color w:val="000000" w:themeColor="text1"/>
          <w:sz w:val="32"/>
          <w:szCs w:val="32"/>
          <w14:textFill>
            <w14:solidFill>
              <w14:schemeClr w14:val="tx1"/>
            </w14:solidFill>
          </w14:textFill>
        </w:rPr>
        <w:t>，预决算差异率45.74%，主要原因是：农用地规模化农田建设等项目增加。</w:t>
      </w:r>
      <w:r>
        <w:rPr>
          <w:rFonts w:hint="eastAsia" w:ascii="仿宋_GB2312" w:eastAsia="仿宋_GB2312"/>
          <w:sz w:val="32"/>
          <w:szCs w:val="32"/>
        </w:rPr>
        <w:t>财政拨款支出年初预算数</w:t>
      </w:r>
      <w:r>
        <w:rPr>
          <w:rFonts w:ascii="仿宋_GB2312" w:eastAsia="仿宋_GB2312"/>
          <w:color w:val="000000" w:themeColor="text1"/>
          <w:sz w:val="32"/>
          <w:szCs w:val="32"/>
          <w14:textFill>
            <w14:solidFill>
              <w14:schemeClr w14:val="tx1"/>
            </w14:solidFill>
          </w14:textFill>
        </w:rPr>
        <w:t>2,783.80</w:t>
      </w:r>
      <w:r>
        <w:rPr>
          <w:rFonts w:hint="eastAsia" w:ascii="仿宋_GB2312" w:eastAsia="仿宋_GB2312"/>
          <w:sz w:val="32"/>
          <w:szCs w:val="32"/>
        </w:rPr>
        <w:t>万元，决算数4,057.03万元</w:t>
      </w:r>
      <w:r>
        <w:rPr>
          <w:rFonts w:ascii="仿宋_GB2312" w:eastAsia="仿宋_GB2312"/>
          <w:color w:val="000000" w:themeColor="text1"/>
          <w:sz w:val="32"/>
          <w:szCs w:val="32"/>
          <w14:textFill>
            <w14:solidFill>
              <w14:schemeClr w14:val="tx1"/>
            </w14:solidFill>
          </w14:textFill>
        </w:rPr>
        <w:t>，预决算差异率45.74%，主要原因是：农用地规模化农田建设等项目增加。</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年度一般公共预算财政拨款支出3,470.83万元。按功能分类科目项级科目公开，其中：</w:t>
      </w:r>
    </w:p>
    <w:p>
      <w:pPr>
        <w:rPr>
          <w:rFonts w:ascii="仿宋_GB2312" w:eastAsia="仿宋_GB2312"/>
          <w:sz w:val="32"/>
          <w:szCs w:val="32"/>
        </w:rPr>
      </w:pPr>
      <w:r>
        <w:rPr>
          <w:rFonts w:ascii="仿宋_GB2312" w:eastAsia="仿宋_GB2312"/>
          <w:sz w:val="32"/>
          <w:szCs w:val="32"/>
        </w:rPr>
        <w:t xml:space="preserve">   2080505机关事业单位基本养老保险缴费支出62.59万元；</w:t>
      </w:r>
      <w:r>
        <w:rPr>
          <w:rFonts w:ascii="仿宋_GB2312" w:eastAsia="仿宋_GB2312"/>
          <w:sz w:val="32"/>
          <w:szCs w:val="32"/>
        </w:rPr>
        <w:br w:type="textWrapping"/>
      </w:r>
      <w:r>
        <w:rPr>
          <w:rFonts w:ascii="仿宋_GB2312" w:eastAsia="仿宋_GB2312"/>
          <w:sz w:val="32"/>
          <w:szCs w:val="32"/>
        </w:rPr>
        <w:t xml:space="preserve">   2101101行政单位医疗支出16.50万元；</w:t>
      </w:r>
      <w:r>
        <w:rPr>
          <w:rFonts w:ascii="仿宋_GB2312" w:eastAsia="仿宋_GB2312"/>
          <w:sz w:val="32"/>
          <w:szCs w:val="32"/>
        </w:rPr>
        <w:br w:type="textWrapping"/>
      </w:r>
      <w:r>
        <w:rPr>
          <w:rFonts w:ascii="仿宋_GB2312" w:eastAsia="仿宋_GB2312"/>
          <w:sz w:val="32"/>
          <w:szCs w:val="32"/>
        </w:rPr>
        <w:t xml:space="preserve">   2101102事业单位医疗支出11.72万元；</w:t>
      </w:r>
      <w:r>
        <w:rPr>
          <w:rFonts w:ascii="仿宋_GB2312" w:eastAsia="仿宋_GB2312"/>
          <w:sz w:val="32"/>
          <w:szCs w:val="32"/>
        </w:rPr>
        <w:br w:type="textWrapping"/>
      </w:r>
      <w:r>
        <w:rPr>
          <w:rFonts w:ascii="仿宋_GB2312" w:eastAsia="仿宋_GB2312"/>
          <w:sz w:val="32"/>
          <w:szCs w:val="32"/>
        </w:rPr>
        <w:t xml:space="preserve">   2101103公务员医疗补助支出5.04万元；</w:t>
      </w:r>
      <w:r>
        <w:rPr>
          <w:rFonts w:ascii="仿宋_GB2312" w:eastAsia="仿宋_GB2312"/>
          <w:sz w:val="32"/>
          <w:szCs w:val="32"/>
        </w:rPr>
        <w:br w:type="textWrapping"/>
      </w:r>
      <w:r>
        <w:rPr>
          <w:rFonts w:ascii="仿宋_GB2312" w:eastAsia="仿宋_GB2312"/>
          <w:sz w:val="32"/>
          <w:szCs w:val="32"/>
        </w:rPr>
        <w:t xml:space="preserve">   2130505生产发展支出1,587.88万元；</w:t>
      </w:r>
      <w:r>
        <w:rPr>
          <w:rFonts w:ascii="仿宋_GB2312" w:eastAsia="仿宋_GB2312"/>
          <w:sz w:val="32"/>
          <w:szCs w:val="32"/>
        </w:rPr>
        <w:br w:type="textWrapping"/>
      </w:r>
      <w:r>
        <w:rPr>
          <w:rFonts w:ascii="仿宋_GB2312" w:eastAsia="仿宋_GB2312"/>
          <w:sz w:val="32"/>
          <w:szCs w:val="32"/>
        </w:rPr>
        <w:t xml:space="preserve">   2139999其他农林水支出703.35万元；</w:t>
      </w:r>
      <w:r>
        <w:rPr>
          <w:rFonts w:ascii="仿宋_GB2312" w:eastAsia="仿宋_GB2312"/>
          <w:sz w:val="32"/>
          <w:szCs w:val="32"/>
        </w:rPr>
        <w:br w:type="textWrapping"/>
      </w:r>
      <w:r>
        <w:rPr>
          <w:rFonts w:ascii="仿宋_GB2312" w:eastAsia="仿宋_GB2312"/>
          <w:sz w:val="32"/>
          <w:szCs w:val="32"/>
        </w:rPr>
        <w:t xml:space="preserve">   2200101行政运行支出227.93万元；</w:t>
      </w:r>
      <w:r>
        <w:rPr>
          <w:rFonts w:ascii="仿宋_GB2312" w:eastAsia="仿宋_GB2312"/>
          <w:sz w:val="32"/>
          <w:szCs w:val="32"/>
        </w:rPr>
        <w:br w:type="textWrapping"/>
      </w:r>
      <w:r>
        <w:rPr>
          <w:rFonts w:ascii="仿宋_GB2312" w:eastAsia="仿宋_GB2312"/>
          <w:sz w:val="32"/>
          <w:szCs w:val="32"/>
        </w:rPr>
        <w:t xml:space="preserve">   2200104自然资源规划及管理支出24.04万元；</w:t>
      </w:r>
      <w:r>
        <w:rPr>
          <w:rFonts w:ascii="仿宋_GB2312" w:eastAsia="仿宋_GB2312"/>
          <w:sz w:val="32"/>
          <w:szCs w:val="32"/>
        </w:rPr>
        <w:br w:type="textWrapping"/>
      </w:r>
      <w:r>
        <w:rPr>
          <w:rFonts w:ascii="仿宋_GB2312" w:eastAsia="仿宋_GB2312"/>
          <w:sz w:val="32"/>
          <w:szCs w:val="32"/>
        </w:rPr>
        <w:t xml:space="preserve">   2200105土地资源调查支出38.37万元；</w:t>
      </w:r>
      <w:r>
        <w:rPr>
          <w:rFonts w:ascii="仿宋_GB2312" w:eastAsia="仿宋_GB2312"/>
          <w:sz w:val="32"/>
          <w:szCs w:val="32"/>
        </w:rPr>
        <w:br w:type="textWrapping"/>
      </w:r>
      <w:r>
        <w:rPr>
          <w:rFonts w:ascii="仿宋_GB2312" w:eastAsia="仿宋_GB2312"/>
          <w:sz w:val="32"/>
          <w:szCs w:val="32"/>
        </w:rPr>
        <w:t xml:space="preserve">   2200106土地资源利用与保护支出43.62万元；</w:t>
      </w:r>
      <w:r>
        <w:rPr>
          <w:rFonts w:ascii="仿宋_GB2312" w:eastAsia="仿宋_GB2312"/>
          <w:sz w:val="32"/>
          <w:szCs w:val="32"/>
        </w:rPr>
        <w:br w:type="textWrapping"/>
      </w:r>
      <w:r>
        <w:rPr>
          <w:rFonts w:ascii="仿宋_GB2312" w:eastAsia="仿宋_GB2312"/>
          <w:sz w:val="32"/>
          <w:szCs w:val="32"/>
        </w:rPr>
        <w:t xml:space="preserve">   2200109自然资源调查支出191.09万元；</w:t>
      </w:r>
      <w:r>
        <w:rPr>
          <w:rFonts w:ascii="仿宋_GB2312" w:eastAsia="仿宋_GB2312"/>
          <w:sz w:val="32"/>
          <w:szCs w:val="32"/>
        </w:rPr>
        <w:br w:type="textWrapping"/>
      </w:r>
      <w:r>
        <w:rPr>
          <w:rFonts w:ascii="仿宋_GB2312" w:eastAsia="仿宋_GB2312"/>
          <w:sz w:val="32"/>
          <w:szCs w:val="32"/>
        </w:rPr>
        <w:t xml:space="preserve">   2200110国土整治支出115.93万元；</w:t>
      </w:r>
      <w:r>
        <w:rPr>
          <w:rFonts w:ascii="仿宋_GB2312" w:eastAsia="仿宋_GB2312"/>
          <w:sz w:val="32"/>
          <w:szCs w:val="32"/>
        </w:rPr>
        <w:br w:type="textWrapping"/>
      </w:r>
      <w:r>
        <w:rPr>
          <w:rFonts w:ascii="仿宋_GB2312" w:eastAsia="仿宋_GB2312"/>
          <w:sz w:val="32"/>
          <w:szCs w:val="32"/>
        </w:rPr>
        <w:t xml:space="preserve">   2200150事业运行支出335.85万元；</w:t>
      </w:r>
      <w:r>
        <w:rPr>
          <w:rFonts w:ascii="仿宋_GB2312" w:eastAsia="仿宋_GB2312"/>
          <w:sz w:val="32"/>
          <w:szCs w:val="32"/>
        </w:rPr>
        <w:br w:type="textWrapping"/>
      </w:r>
      <w:r>
        <w:rPr>
          <w:rFonts w:ascii="仿宋_GB2312" w:eastAsia="仿宋_GB2312"/>
          <w:sz w:val="32"/>
          <w:szCs w:val="32"/>
        </w:rPr>
        <w:t xml:space="preserve">   2200199其他自然资源事务支出8.78万元；</w:t>
      </w:r>
      <w:r>
        <w:rPr>
          <w:rFonts w:ascii="仿宋_GB2312" w:eastAsia="仿宋_GB2312"/>
          <w:sz w:val="32"/>
          <w:szCs w:val="32"/>
        </w:rPr>
        <w:br w:type="textWrapping"/>
      </w:r>
      <w:r>
        <w:rPr>
          <w:rFonts w:ascii="仿宋_GB2312" w:eastAsia="仿宋_GB2312"/>
          <w:sz w:val="32"/>
          <w:szCs w:val="32"/>
        </w:rPr>
        <w:t xml:space="preserve">   2210201住房公积金支出43.33万元；</w:t>
      </w:r>
      <w:r>
        <w:rPr>
          <w:rFonts w:ascii="仿宋_GB2312" w:eastAsia="仿宋_GB2312"/>
          <w:sz w:val="32"/>
          <w:szCs w:val="32"/>
        </w:rPr>
        <w:br w:type="textWrapping"/>
      </w:r>
      <w:r>
        <w:rPr>
          <w:rFonts w:ascii="仿宋_GB2312" w:eastAsia="仿宋_GB2312"/>
          <w:sz w:val="32"/>
          <w:szCs w:val="32"/>
        </w:rPr>
        <w:t xml:space="preserve">   2240150事业运行支出0.50万元；</w:t>
      </w:r>
      <w:r>
        <w:rPr>
          <w:rFonts w:ascii="仿宋_GB2312" w:eastAsia="仿宋_GB2312"/>
          <w:sz w:val="32"/>
          <w:szCs w:val="32"/>
        </w:rPr>
        <w:br w:type="textWrapping"/>
      </w:r>
      <w:r>
        <w:rPr>
          <w:rFonts w:ascii="仿宋_GB2312" w:eastAsia="仿宋_GB2312"/>
          <w:sz w:val="32"/>
          <w:szCs w:val="32"/>
        </w:rPr>
        <w:t xml:space="preserve">   2299901其他支出54.31万元。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年度一般公共预算财政拨款基本支出703.46万元，其中：</w:t>
      </w:r>
    </w:p>
    <w:p>
      <w:pPr>
        <w:ind w:firstLine="640" w:firstLineChars="200"/>
        <w:rPr>
          <w:rFonts w:ascii="仿宋_GB2312" w:eastAsia="仿宋_GB2312"/>
          <w:sz w:val="32"/>
          <w:szCs w:val="32"/>
        </w:rPr>
      </w:pPr>
      <w:r>
        <w:rPr>
          <w:rFonts w:hint="eastAsia" w:ascii="仿宋_GB2312" w:eastAsia="仿宋_GB2312"/>
          <w:sz w:val="32"/>
          <w:szCs w:val="32"/>
        </w:rPr>
        <w:t>人员经费676.40万元，包括：基本工资、津贴补贴、奖金、机关事业单位基本养老保险缴费、职工基本医疗保险缴费、公务员医疗补助缴费、其他社会保障缴费、住房公积金、其他工资福利支出、</w:t>
      </w:r>
      <w:r>
        <w:rPr>
          <w:rFonts w:hint="eastAsia" w:ascii="仿宋_GB2312" w:eastAsia="仿宋_GB2312"/>
          <w:color w:val="auto"/>
          <w:sz w:val="32"/>
          <w:szCs w:val="32"/>
          <w:lang w:eastAsia="zh-CN"/>
        </w:rPr>
        <w:t>对个人和家庭的补助、</w:t>
      </w:r>
      <w:r>
        <w:rPr>
          <w:rFonts w:hint="eastAsia" w:ascii="仿宋_GB2312" w:eastAsia="仿宋_GB2312"/>
          <w:sz w:val="32"/>
          <w:szCs w:val="32"/>
        </w:rPr>
        <w:t>退休费、生活补助。</w:t>
      </w:r>
    </w:p>
    <w:p>
      <w:pPr>
        <w:ind w:firstLine="640" w:firstLineChars="200"/>
        <w:rPr>
          <w:rFonts w:ascii="仿宋_GB2312" w:eastAsia="仿宋_GB2312"/>
          <w:sz w:val="32"/>
          <w:szCs w:val="32"/>
        </w:rPr>
      </w:pPr>
      <w:r>
        <w:rPr>
          <w:rFonts w:hint="eastAsia" w:ascii="仿宋_GB2312" w:eastAsia="仿宋_GB2312"/>
          <w:sz w:val="32"/>
          <w:szCs w:val="32"/>
        </w:rPr>
        <w:t>公用经费27.06万元，包括：办公费、咨询费、电费、邮电费、取暖费、差旅费、维修（护）费、劳务费、公务用车运行维护费、其他交通费用。</w:t>
      </w:r>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一般公共预算“三公”经费支出决算6万元，比上年增加0万元，增长0%，主要原因是严格压缩经费。其中，因公出国（境）费支出0万元，占0%，比上年增加0万元，增长0%，主要原因是无此项内容；公务用车购置及运行维护费支出6万元，占100%，比上年增加0万元，增长0%，主要原因是严格压缩经费；公务接待费支出0万元，占0%，比上年增加0万元，增长0%，主要原因是无此项内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因公出国（境）费支出0万元，开支内容包括：</w:t>
      </w:r>
      <w:r>
        <w:rPr>
          <w:rFonts w:ascii="仿宋_GB2312" w:eastAsia="仿宋_GB2312"/>
          <w:color w:val="000000" w:themeColor="text1"/>
          <w:sz w:val="32"/>
          <w:szCs w:val="32"/>
          <w14:textFill>
            <w14:solidFill>
              <w14:schemeClr w14:val="tx1"/>
            </w14:solidFill>
          </w14:textFill>
        </w:rPr>
        <w:t>无此项内容。</w:t>
      </w:r>
      <w:r>
        <w:rPr>
          <w:rFonts w:hint="eastAsia" w:ascii="仿宋_GB2312" w:eastAsia="仿宋_GB2312"/>
          <w:sz w:val="32"/>
          <w:szCs w:val="32"/>
        </w:rPr>
        <w:t>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公务用车购置及运行维护费6万元，其中，公务用车购置费0万元，公务用车运行维护费6万元。公务用车运行维护费开支内容包括燃油费、车辆维护费。公务用车购置数0辆，公务用车保有量5辆。</w:t>
      </w:r>
    </w:p>
    <w:p>
      <w:pPr>
        <w:ind w:firstLine="640" w:firstLineChars="200"/>
        <w:rPr>
          <w:rFonts w:ascii="仿宋_GB2312" w:eastAsia="仿宋_GB2312"/>
          <w:sz w:val="32"/>
          <w:szCs w:val="32"/>
        </w:rPr>
      </w:pPr>
      <w:r>
        <w:rPr>
          <w:rFonts w:hint="eastAsia" w:ascii="仿宋_GB2312" w:eastAsia="仿宋_GB2312"/>
          <w:sz w:val="32"/>
          <w:szCs w:val="32"/>
        </w:rPr>
        <w:t>公务接待费0万元，开支内容包括无此项内容。单位全年安排的国内公务接待0批次，0人次。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6</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6</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，预决算差异率0%，主要原因是：严格</w:t>
      </w:r>
      <w:r>
        <w:rPr>
          <w:rFonts w:hint="eastAsia" w:ascii="仿宋_GB2312" w:eastAsia="仿宋_GB2312"/>
          <w:color w:val="000000" w:themeColor="text1"/>
          <w:sz w:val="32"/>
          <w:szCs w:val="32"/>
          <w:lang w:eastAsia="zh-CN"/>
          <w14:textFill>
            <w14:solidFill>
              <w14:schemeClr w14:val="tx1"/>
            </w14:solidFill>
          </w14:textFill>
        </w:rPr>
        <w:t>按照年初预算数执行</w:t>
      </w:r>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6</w:t>
      </w:r>
      <w:r>
        <w:rPr>
          <w:rFonts w:hint="eastAsia" w:ascii="仿宋_GB2312" w:eastAsia="仿宋_GB2312"/>
          <w:sz w:val="32"/>
          <w:szCs w:val="32"/>
        </w:rPr>
        <w:t>万元，决算数</w:t>
      </w:r>
      <w:r>
        <w:rPr>
          <w:rFonts w:ascii="仿宋_GB2312" w:eastAsia="仿宋_GB2312"/>
          <w:color w:val="000000" w:themeColor="text1"/>
          <w:sz w:val="32"/>
          <w:szCs w:val="32"/>
          <w14:textFill>
            <w14:solidFill>
              <w14:schemeClr w14:val="tx1"/>
            </w14:solidFill>
          </w14:textFill>
        </w:rPr>
        <w:t>6</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，预决算差异率0%，主要原因是：严格</w:t>
      </w:r>
      <w:r>
        <w:rPr>
          <w:rFonts w:hint="eastAsia" w:ascii="仿宋_GB2312" w:eastAsia="仿宋_GB2312"/>
          <w:color w:val="000000" w:themeColor="text1"/>
          <w:sz w:val="32"/>
          <w:szCs w:val="32"/>
          <w:lang w:eastAsia="zh-CN"/>
          <w14:textFill>
            <w14:solidFill>
              <w14:schemeClr w14:val="tx1"/>
            </w14:solidFill>
          </w14:textFill>
        </w:rPr>
        <w:t>按照年初预算数执行</w:t>
      </w:r>
      <w:bookmarkStart w:id="54" w:name="_GoBack"/>
      <w:bookmarkEnd w:id="54"/>
      <w:r>
        <w:rPr>
          <w:rFonts w:ascii="仿宋_GB2312" w:eastAsia="仿宋_GB2312"/>
          <w:color w:val="000000" w:themeColor="text1"/>
          <w:sz w:val="32"/>
          <w:szCs w:val="32"/>
          <w14:textFill>
            <w14:solidFill>
              <w14:schemeClr w14:val="tx1"/>
            </w14:solidFill>
          </w14:textFill>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万元，决算数</w:t>
      </w:r>
      <w:r>
        <w:rPr>
          <w:rFonts w:hint="eastAsia" w:ascii="仿宋_GB2312" w:eastAsia="仿宋_GB2312"/>
          <w:color w:val="000000" w:themeColor="text1"/>
          <w:sz w:val="32"/>
          <w:szCs w:val="32"/>
          <w14:textFill>
            <w14:solidFill>
              <w14:schemeClr w14:val="tx1"/>
            </w14:solidFill>
          </w14:textFill>
        </w:rPr>
        <w:t>0</w:t>
      </w:r>
      <w:r>
        <w:rPr>
          <w:rFonts w:hint="eastAsia" w:ascii="仿宋_GB2312" w:eastAsia="仿宋_GB2312"/>
          <w:sz w:val="32"/>
          <w:szCs w:val="32"/>
        </w:rPr>
        <w:t>万元</w:t>
      </w:r>
      <w:r>
        <w:rPr>
          <w:rFonts w:ascii="仿宋_GB2312" w:eastAsia="仿宋_GB2312"/>
          <w:color w:val="000000" w:themeColor="text1"/>
          <w:sz w:val="32"/>
          <w:szCs w:val="32"/>
          <w14:textFill>
            <w14:solidFill>
              <w14:schemeClr w14:val="tx1"/>
            </w14:solidFill>
          </w14:textFill>
        </w:rPr>
        <w:t>，预决算差异率0%，主要原因是：无此项内容。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w:t>2019年度政府性基金预算财政拨款收入586.20万元，与上年相比，增加586.20万元，增长100%，主要原因是：项目增加。政府性基金预算支出586.20万元，与上年相比，增加586.20万元，增长100%，主要原因是：项目增加。</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2019年度新疆喀什地区巴楚县自然资源局机关运行经费支出27.06万元，比上年减少28.66万元，降低51.44%，主要原因是日常公用经费商品和服务支出降低。</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年度政府采购支出总额178.88万元，其中：政府采购货物支出64.97万元、政府采购工程支出84.31万元、政府采购服务支出29.61万元。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授予中小企业合同金额178.88万元，占政府采购支出总额的100%，其中：授予小微企业合同金额141.77万元，占政府采购支出总额的79.25%。</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截止</w:t>
      </w:r>
      <w:r>
        <w:rPr>
          <w:rFonts w:ascii="仿宋_GB2312" w:eastAsia="仿宋_GB2312"/>
          <w:sz w:val="32"/>
          <w:szCs w:val="32"/>
          <w:highlight w:val="none"/>
        </w:rPr>
        <w:t>2019</w:t>
      </w:r>
      <w:r>
        <w:rPr>
          <w:rFonts w:hint="eastAsia" w:ascii="仿宋_GB2312" w:eastAsia="仿宋_GB2312"/>
          <w:sz w:val="32"/>
          <w:szCs w:val="32"/>
          <w:highlight w:val="none"/>
        </w:rPr>
        <w:t>年12月31日，单位共有房屋2,470（平方米），价值524.68万元。车辆5辆，价值58.43万元，其中：副部（省）级及以上领导用车0辆、主要领导干部用车</w:t>
      </w:r>
      <w:r>
        <w:rPr>
          <w:rFonts w:ascii="仿宋_GB2312" w:eastAsia="仿宋_GB2312"/>
          <w:color w:val="000000" w:themeColor="text1"/>
          <w:sz w:val="32"/>
          <w:szCs w:val="32"/>
          <w:highlight w:val="none"/>
          <w14:textFill>
            <w14:solidFill>
              <w14:schemeClr w14:val="tx1"/>
            </w14:solidFill>
          </w14:textFill>
        </w:rPr>
        <w:t>0</w:t>
      </w:r>
      <w:r>
        <w:rPr>
          <w:rFonts w:hint="eastAsia" w:ascii="仿宋_GB2312" w:eastAsia="仿宋_GB2312"/>
          <w:sz w:val="32"/>
          <w:szCs w:val="32"/>
          <w:highlight w:val="none"/>
        </w:rPr>
        <w:t>辆、机要通信用车</w:t>
      </w:r>
      <w:r>
        <w:rPr>
          <w:rFonts w:ascii="仿宋_GB2312" w:eastAsia="仿宋_GB2312"/>
          <w:color w:val="000000" w:themeColor="text1"/>
          <w:sz w:val="32"/>
          <w:szCs w:val="32"/>
          <w:highlight w:val="none"/>
          <w14:textFill>
            <w14:solidFill>
              <w14:schemeClr w14:val="tx1"/>
            </w14:solidFill>
          </w14:textFill>
        </w:rPr>
        <w:t>0</w:t>
      </w:r>
      <w:r>
        <w:rPr>
          <w:rFonts w:hint="eastAsia" w:ascii="仿宋_GB2312" w:eastAsia="仿宋_GB2312"/>
          <w:sz w:val="32"/>
          <w:szCs w:val="32"/>
          <w:highlight w:val="none"/>
        </w:rPr>
        <w:t>辆、应急保障用车</w:t>
      </w:r>
      <w:r>
        <w:rPr>
          <w:rFonts w:ascii="仿宋_GB2312" w:eastAsia="仿宋_GB2312"/>
          <w:color w:val="000000" w:themeColor="text1"/>
          <w:sz w:val="32"/>
          <w:szCs w:val="32"/>
          <w:highlight w:val="none"/>
          <w14:textFill>
            <w14:solidFill>
              <w14:schemeClr w14:val="tx1"/>
            </w14:solidFill>
          </w14:textFill>
        </w:rPr>
        <w:t>0</w:t>
      </w:r>
      <w:r>
        <w:rPr>
          <w:rFonts w:hint="eastAsia" w:ascii="仿宋_GB2312" w:eastAsia="仿宋_GB2312"/>
          <w:sz w:val="32"/>
          <w:szCs w:val="32"/>
          <w:highlight w:val="none"/>
        </w:rPr>
        <w:t>辆、执法执勤用车0辆、特种专业技术用车0辆、离退休干部用车</w:t>
      </w:r>
      <w:r>
        <w:rPr>
          <w:rFonts w:ascii="仿宋_GB2312" w:eastAsia="仿宋_GB2312"/>
          <w:color w:val="000000" w:themeColor="text1"/>
          <w:sz w:val="32"/>
          <w:szCs w:val="32"/>
          <w:highlight w:val="none"/>
          <w14:textFill>
            <w14:solidFill>
              <w14:schemeClr w14:val="tx1"/>
            </w14:solidFill>
          </w14:textFill>
        </w:rPr>
        <w:t>0</w:t>
      </w:r>
      <w:r>
        <w:rPr>
          <w:rFonts w:hint="eastAsia" w:ascii="仿宋_GB2312" w:eastAsia="仿宋_GB2312"/>
          <w:sz w:val="32"/>
          <w:szCs w:val="32"/>
          <w:highlight w:val="none"/>
        </w:rPr>
        <w:t>辆、其他用车</w:t>
      </w:r>
      <w:r>
        <w:rPr>
          <w:rFonts w:ascii="仿宋_GB2312" w:eastAsia="仿宋_GB2312"/>
          <w:color w:val="000000" w:themeColor="text1"/>
          <w:sz w:val="32"/>
          <w:szCs w:val="32"/>
          <w:highlight w:val="none"/>
          <w14:textFill>
            <w14:solidFill>
              <w14:schemeClr w14:val="tx1"/>
            </w14:solidFill>
          </w14:textFill>
        </w:rPr>
        <w:t>5</w:t>
      </w:r>
      <w:r>
        <w:rPr>
          <w:rFonts w:hint="eastAsia" w:ascii="仿宋_GB2312" w:eastAsia="仿宋_GB2312"/>
          <w:sz w:val="32"/>
          <w:szCs w:val="32"/>
          <w:highlight w:val="none"/>
        </w:rPr>
        <w:t>辆，其他用车主要是：</w:t>
      </w:r>
      <w:r>
        <w:rPr>
          <w:rFonts w:ascii="仿宋_GB2312" w:eastAsia="仿宋_GB2312"/>
          <w:color w:val="000000" w:themeColor="text1"/>
          <w:sz w:val="32"/>
          <w:szCs w:val="32"/>
          <w:highlight w:val="none"/>
          <w14:textFill>
            <w14:solidFill>
              <w14:schemeClr w14:val="tx1"/>
            </w14:solidFill>
          </w14:textFill>
        </w:rPr>
        <w:t>日常公务用车；</w:t>
      </w:r>
      <w:r>
        <w:rPr>
          <w:rFonts w:hint="eastAsia" w:ascii="仿宋_GB2312" w:eastAsia="仿宋_GB2312"/>
          <w:sz w:val="32"/>
          <w:szCs w:val="32"/>
          <w:highlight w:val="none"/>
        </w:rPr>
        <w:t>单位价值50万元以上通用设备0台（套）、单位价值100万元以上专用设备0台（套）。</w:t>
      </w:r>
    </w:p>
    <w:p>
      <w:pPr>
        <w:ind w:firstLine="640" w:firstLineChars="200"/>
        <w:outlineLvl w:val="1"/>
        <w:rPr>
          <w:rFonts w:ascii="黑体" w:hAnsi="黑体" w:eastAsia="黑体" w:cs="宋体"/>
          <w:bCs/>
          <w:kern w:val="0"/>
          <w:sz w:val="32"/>
          <w:szCs w:val="32"/>
          <w:highlight w:val="none"/>
        </w:rPr>
      </w:pPr>
      <w:bookmarkStart w:id="32" w:name="_Toc435"/>
      <w:bookmarkStart w:id="33" w:name="_Toc11283"/>
      <w:r>
        <w:rPr>
          <w:rFonts w:hint="eastAsia" w:ascii="黑体" w:hAnsi="黑体" w:eastAsia="黑体" w:cs="宋体"/>
          <w:bCs/>
          <w:kern w:val="0"/>
          <w:sz w:val="32"/>
          <w:szCs w:val="32"/>
          <w:highlight w:val="none"/>
        </w:rPr>
        <w:t>十、预算绩效的情况说明</w:t>
      </w:r>
      <w:bookmarkEnd w:id="32"/>
      <w:bookmarkEnd w:id="33"/>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根据预算绩效管理要求，我单位2019年度开展预算绩效评价项目</w:t>
      </w:r>
      <w:r>
        <w:rPr>
          <w:rFonts w:hint="eastAsia" w:ascii="仿宋_GB2312" w:eastAsia="仿宋_GB2312"/>
          <w:sz w:val="32"/>
          <w:szCs w:val="32"/>
          <w:highlight w:val="none"/>
          <w:lang w:val="en-US" w:eastAsia="zh-CN"/>
        </w:rPr>
        <w:t>11</w:t>
      </w:r>
      <w:r>
        <w:rPr>
          <w:rFonts w:hint="eastAsia" w:ascii="仿宋_GB2312" w:eastAsia="仿宋_GB2312"/>
          <w:sz w:val="32"/>
          <w:szCs w:val="32"/>
          <w:highlight w:val="none"/>
        </w:rPr>
        <w:t>个。预算绩效管理取得的成效：一是产出指标评价：增减挂资金（巴楚县2019年农村集体建设用地整理复垦）</w:t>
      </w:r>
      <w:r>
        <w:rPr>
          <w:rFonts w:hint="eastAsia" w:ascii="仿宋_GB2312" w:eastAsia="仿宋_GB2312"/>
          <w:sz w:val="32"/>
          <w:szCs w:val="32"/>
          <w:highlight w:val="none"/>
          <w:lang w:eastAsia="zh-CN"/>
        </w:rPr>
        <w:t>为</w:t>
      </w:r>
      <w:r>
        <w:rPr>
          <w:rFonts w:hint="eastAsia" w:ascii="仿宋_GB2312" w:eastAsia="仿宋_GB2312"/>
          <w:sz w:val="32"/>
          <w:szCs w:val="32"/>
          <w:highlight w:val="none"/>
        </w:rPr>
        <w:t>106个村建设用地整理复垦</w:t>
      </w:r>
      <w:r>
        <w:rPr>
          <w:rFonts w:hint="eastAsia" w:ascii="仿宋_GB2312" w:eastAsia="仿宋_GB2312"/>
          <w:sz w:val="32"/>
          <w:szCs w:val="32"/>
          <w:highlight w:val="none"/>
          <w:lang w:eastAsia="zh-CN"/>
        </w:rPr>
        <w:t>土地</w:t>
      </w:r>
      <w:r>
        <w:rPr>
          <w:rFonts w:hint="eastAsia" w:ascii="仿宋_GB2312" w:eastAsia="仿宋_GB2312"/>
          <w:sz w:val="32"/>
          <w:szCs w:val="32"/>
          <w:highlight w:val="none"/>
          <w:lang w:val="en-US" w:eastAsia="zh-CN"/>
        </w:rPr>
        <w:t>22323</w:t>
      </w:r>
      <w:r>
        <w:rPr>
          <w:rFonts w:hint="eastAsia" w:ascii="仿宋_GB2312" w:eastAsia="仿宋_GB2312"/>
          <w:sz w:val="32"/>
          <w:szCs w:val="32"/>
          <w:highlight w:val="none"/>
          <w:lang w:eastAsia="zh-CN"/>
        </w:rPr>
        <w:t>亩，改善农村杂乱的居住环境，加强农田基础设施建设，完善农田配套工程，改善当地农民的生产条件，</w:t>
      </w:r>
      <w:r>
        <w:rPr>
          <w:rFonts w:hint="eastAsia" w:ascii="仿宋_GB2312" w:eastAsia="仿宋_GB2312"/>
          <w:sz w:val="32"/>
          <w:szCs w:val="32"/>
          <w:highlight w:val="none"/>
        </w:rPr>
        <w:t>通过规范的招投标</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严格的资金管理及项目管理措施实现了资金的节约。巴楚县2019年度规模化农田建设项目</w:t>
      </w:r>
      <w:r>
        <w:rPr>
          <w:rFonts w:hint="eastAsia" w:ascii="仿宋_GB2312" w:eastAsia="仿宋_GB2312"/>
          <w:sz w:val="32"/>
          <w:szCs w:val="32"/>
          <w:highlight w:val="none"/>
          <w:lang w:eastAsia="zh-CN"/>
        </w:rPr>
        <w:t>，对12个贫困村15908.59亩土地进行平整，加强了农田基础设施建设，完善农田配套工程，改善了当地农民的生产条件。宅基地整治项目，对97个贫困村12748亩宅基地进行整治，通过老旧宅基地清理后，宅基地环境明显改善，村庄环境基本干净整洁有序，环境质量较大提升，同时，村民环境与健康意识普遍增强。</w:t>
      </w:r>
      <w:r>
        <w:rPr>
          <w:rFonts w:hint="eastAsia" w:ascii="仿宋_GB2312" w:eastAsia="仿宋_GB2312"/>
          <w:sz w:val="32"/>
          <w:szCs w:val="32"/>
          <w:highlight w:val="none"/>
        </w:rPr>
        <w:t>二是效益指标评价：增减挂资金（巴楚县2019年农村集体建设用地整理复垦）各项工作按计划按时完成，项目刚实施完效益不明显。巴楚县2019年度规模化农田建设项目</w:t>
      </w:r>
      <w:r>
        <w:rPr>
          <w:rFonts w:hint="eastAsia" w:ascii="仿宋_GB2312" w:eastAsia="仿宋_GB2312"/>
          <w:sz w:val="32"/>
          <w:szCs w:val="32"/>
          <w:highlight w:val="none"/>
          <w:lang w:eastAsia="zh-CN"/>
        </w:rPr>
        <w:t>，平整土地面积15908.59亩，新修田间道36273米，渠道114609米，清除树根62295棵，土地平整成本4.79元/立方米，新建建设田间路成本28.46元/平方米，</w:t>
      </w:r>
      <w:r>
        <w:rPr>
          <w:rFonts w:hint="eastAsia" w:ascii="仿宋_GB2312" w:eastAsia="仿宋_GB2312"/>
          <w:sz w:val="32"/>
          <w:szCs w:val="32"/>
          <w:highlight w:val="none"/>
        </w:rPr>
        <w:t>通过规范的招投标及严格的资金管理及项目管理措施实现了资金的节约</w:t>
      </w:r>
      <w:r>
        <w:rPr>
          <w:rFonts w:hint="eastAsia" w:ascii="仿宋_GB2312" w:eastAsia="仿宋_GB2312"/>
          <w:sz w:val="32"/>
          <w:szCs w:val="32"/>
          <w:highlight w:val="none"/>
          <w:lang w:eastAsia="zh-CN"/>
        </w:rPr>
        <w:t>。宅基地整治项目后，土地利用率</w:t>
      </w:r>
      <w:r>
        <w:rPr>
          <w:rFonts w:hint="eastAsia" w:ascii="仿宋_GB2312" w:eastAsia="仿宋_GB2312"/>
          <w:sz w:val="32"/>
          <w:szCs w:val="32"/>
          <w:highlight w:val="none"/>
          <w:lang w:val="en-US" w:eastAsia="zh-CN"/>
        </w:rPr>
        <w:t>100%，受益建档立卡贫困人口64000人。</w:t>
      </w:r>
      <w:r>
        <w:rPr>
          <w:rFonts w:hint="eastAsia" w:ascii="仿宋_GB2312" w:eastAsia="仿宋_GB2312"/>
          <w:sz w:val="32"/>
          <w:szCs w:val="32"/>
          <w:highlight w:val="none"/>
        </w:rPr>
        <w:t>三是满意度指标评价：根据调查问卷，增减挂资金（巴楚县2019年农村集体建设用地整理复垦）满意度指标完成</w:t>
      </w:r>
      <w:r>
        <w:rPr>
          <w:rFonts w:hint="eastAsia" w:ascii="仿宋_GB2312" w:eastAsia="仿宋_GB2312"/>
          <w:sz w:val="32"/>
          <w:szCs w:val="32"/>
          <w:highlight w:val="none"/>
          <w:lang w:val="en-US" w:eastAsia="zh-CN"/>
        </w:rPr>
        <w:t>80%</w:t>
      </w:r>
      <w:r>
        <w:rPr>
          <w:rFonts w:hint="eastAsia" w:ascii="仿宋_GB2312" w:eastAsia="仿宋_GB2312"/>
          <w:sz w:val="32"/>
          <w:szCs w:val="32"/>
          <w:highlight w:val="none"/>
        </w:rPr>
        <w:t>。巴楚县2019年度规模化农田建设项目</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满意度指标完成</w:t>
      </w:r>
      <w:r>
        <w:rPr>
          <w:rFonts w:hint="eastAsia" w:ascii="仿宋_GB2312" w:eastAsia="仿宋_GB2312"/>
          <w:sz w:val="32"/>
          <w:szCs w:val="32"/>
          <w:highlight w:val="none"/>
          <w:lang w:val="en-US" w:eastAsia="zh-CN"/>
        </w:rPr>
        <w:t>90%。</w:t>
      </w:r>
      <w:r>
        <w:rPr>
          <w:rFonts w:hint="eastAsia" w:ascii="仿宋_GB2312" w:eastAsia="仿宋_GB2312"/>
          <w:sz w:val="32"/>
          <w:szCs w:val="32"/>
          <w:highlight w:val="none"/>
          <w:lang w:eastAsia="zh-CN"/>
        </w:rPr>
        <w:t>宅基地整治项目，</w:t>
      </w:r>
      <w:r>
        <w:rPr>
          <w:rFonts w:hint="eastAsia" w:ascii="仿宋_GB2312" w:eastAsia="仿宋_GB2312"/>
          <w:sz w:val="32"/>
          <w:szCs w:val="32"/>
          <w:highlight w:val="none"/>
        </w:rPr>
        <w:t>满意度指标完成</w:t>
      </w:r>
      <w:r>
        <w:rPr>
          <w:rFonts w:hint="eastAsia" w:ascii="仿宋_GB2312" w:eastAsia="仿宋_GB2312"/>
          <w:sz w:val="32"/>
          <w:szCs w:val="32"/>
          <w:highlight w:val="none"/>
          <w:lang w:val="en-US" w:eastAsia="zh-CN"/>
        </w:rPr>
        <w:t>95%。</w:t>
      </w:r>
      <w:r>
        <w:rPr>
          <w:rFonts w:hint="eastAsia" w:ascii="仿宋_GB2312" w:eastAsia="仿宋_GB2312"/>
          <w:sz w:val="32"/>
          <w:szCs w:val="32"/>
          <w:highlight w:val="none"/>
        </w:rPr>
        <w:t>发现的问题及原因：增减挂资金（巴楚县2019年农村集体建设用地整理复垦）项目刚实施完</w:t>
      </w:r>
      <w:r>
        <w:rPr>
          <w:rFonts w:hint="eastAsia" w:ascii="仿宋_GB2312" w:eastAsia="仿宋_GB2312"/>
          <w:sz w:val="32"/>
          <w:szCs w:val="32"/>
          <w:highlight w:val="none"/>
          <w:lang w:eastAsia="zh-CN"/>
        </w:rPr>
        <w:t>，当年</w:t>
      </w:r>
      <w:r>
        <w:rPr>
          <w:rFonts w:hint="eastAsia" w:ascii="仿宋_GB2312" w:eastAsia="仿宋_GB2312"/>
          <w:sz w:val="32"/>
          <w:szCs w:val="32"/>
          <w:highlight w:val="none"/>
        </w:rPr>
        <w:t>效益不明显。下一步改进措施：一是年初做好资金计划，按照项目进度及时拨付资金，使资金使用效益最大化</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二</w:t>
      </w:r>
      <w:r>
        <w:rPr>
          <w:rFonts w:hint="eastAsia" w:ascii="仿宋_GB2312" w:eastAsia="仿宋_GB2312"/>
          <w:sz w:val="32"/>
          <w:szCs w:val="32"/>
          <w:highlight w:val="none"/>
        </w:rPr>
        <w:t>是加强绩效管理工作的人员业务培训；</w:t>
      </w:r>
      <w:r>
        <w:rPr>
          <w:rFonts w:hint="eastAsia" w:ascii="仿宋_GB2312" w:eastAsia="仿宋_GB2312"/>
          <w:sz w:val="32"/>
          <w:szCs w:val="32"/>
          <w:highlight w:val="none"/>
          <w:lang w:val="en-US" w:eastAsia="zh-CN"/>
        </w:rPr>
        <w:t>三</w:t>
      </w:r>
      <w:r>
        <w:rPr>
          <w:rFonts w:hint="eastAsia" w:ascii="仿宋_GB2312" w:eastAsia="仿宋_GB2312"/>
          <w:sz w:val="32"/>
          <w:szCs w:val="32"/>
          <w:highlight w:val="none"/>
        </w:rPr>
        <w:t>是建立健全规章制度，对绩效管理工作细化、量化，增加可操作性</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四</w:t>
      </w:r>
      <w:r>
        <w:rPr>
          <w:rFonts w:hint="eastAsia" w:ascii="仿宋_GB2312" w:eastAsia="仿宋_GB2312"/>
          <w:sz w:val="32"/>
          <w:szCs w:val="32"/>
          <w:highlight w:val="none"/>
        </w:rPr>
        <w:t>是制定科学合理的绩效考核机制，严格执行绩效考核制度，切忌</w:t>
      </w:r>
      <w:r>
        <w:rPr>
          <w:rFonts w:hint="eastAsia" w:ascii="仿宋_GB2312" w:eastAsia="仿宋_GB2312"/>
          <w:sz w:val="32"/>
          <w:szCs w:val="32"/>
          <w:highlight w:val="none"/>
          <w:lang w:eastAsia="zh-CN"/>
        </w:rPr>
        <w:t>流</w:t>
      </w:r>
      <w:r>
        <w:rPr>
          <w:rFonts w:hint="eastAsia" w:ascii="仿宋_GB2312" w:eastAsia="仿宋_GB2312"/>
          <w:sz w:val="32"/>
          <w:szCs w:val="32"/>
          <w:highlight w:val="none"/>
        </w:rPr>
        <w:t>于形式。具体项目自评情况附项目支出绩效自评表。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24532"/>
      <w:bookmarkStart w:id="41" w:name="_Toc30364"/>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28786"/>
      <w:bookmarkStart w:id="45" w:name="_Toc14238"/>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40"/>
  <w:bordersDoNotSurroundHeader w:val="0"/>
  <w:bordersDoNotSurroundFooter w:val="0"/>
  <w:documentProtection w:edit="comment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7B8"/>
    <w:rsid w:val="000F01B7"/>
    <w:rsid w:val="000F6705"/>
    <w:rsid w:val="001128A8"/>
    <w:rsid w:val="001130AE"/>
    <w:rsid w:val="001237CF"/>
    <w:rsid w:val="00125A6F"/>
    <w:rsid w:val="0014029C"/>
    <w:rsid w:val="00146FA3"/>
    <w:rsid w:val="00162E66"/>
    <w:rsid w:val="001826D1"/>
    <w:rsid w:val="001848EE"/>
    <w:rsid w:val="00186B3B"/>
    <w:rsid w:val="001C2D35"/>
    <w:rsid w:val="001C5BE8"/>
    <w:rsid w:val="001C6E66"/>
    <w:rsid w:val="001D3634"/>
    <w:rsid w:val="001D37EF"/>
    <w:rsid w:val="001E4D79"/>
    <w:rsid w:val="001F777A"/>
    <w:rsid w:val="002122DE"/>
    <w:rsid w:val="00227229"/>
    <w:rsid w:val="002328AF"/>
    <w:rsid w:val="00233021"/>
    <w:rsid w:val="0024217C"/>
    <w:rsid w:val="00243E6C"/>
    <w:rsid w:val="00265F92"/>
    <w:rsid w:val="00272845"/>
    <w:rsid w:val="0029171A"/>
    <w:rsid w:val="00292B7F"/>
    <w:rsid w:val="002B072F"/>
    <w:rsid w:val="002B37DA"/>
    <w:rsid w:val="002B7A04"/>
    <w:rsid w:val="002D187F"/>
    <w:rsid w:val="002F1732"/>
    <w:rsid w:val="00327986"/>
    <w:rsid w:val="003314E6"/>
    <w:rsid w:val="00340AE7"/>
    <w:rsid w:val="00354737"/>
    <w:rsid w:val="0037159F"/>
    <w:rsid w:val="00377EC6"/>
    <w:rsid w:val="003920B8"/>
    <w:rsid w:val="003A44F0"/>
    <w:rsid w:val="003C3EF4"/>
    <w:rsid w:val="003D1DD1"/>
    <w:rsid w:val="003E5F70"/>
    <w:rsid w:val="00400D8F"/>
    <w:rsid w:val="00430E56"/>
    <w:rsid w:val="004318F5"/>
    <w:rsid w:val="00456820"/>
    <w:rsid w:val="00471387"/>
    <w:rsid w:val="00471BBD"/>
    <w:rsid w:val="0047268F"/>
    <w:rsid w:val="004A41CF"/>
    <w:rsid w:val="004A44C9"/>
    <w:rsid w:val="004B2E7F"/>
    <w:rsid w:val="004D35C0"/>
    <w:rsid w:val="004E519F"/>
    <w:rsid w:val="004F1D2D"/>
    <w:rsid w:val="00531503"/>
    <w:rsid w:val="00534ECA"/>
    <w:rsid w:val="005358C2"/>
    <w:rsid w:val="005474EB"/>
    <w:rsid w:val="005506DD"/>
    <w:rsid w:val="005529D0"/>
    <w:rsid w:val="00553FB5"/>
    <w:rsid w:val="00554A58"/>
    <w:rsid w:val="00560394"/>
    <w:rsid w:val="0056525F"/>
    <w:rsid w:val="005B1DE6"/>
    <w:rsid w:val="005C11EB"/>
    <w:rsid w:val="006032AE"/>
    <w:rsid w:val="0068591E"/>
    <w:rsid w:val="00690F22"/>
    <w:rsid w:val="00693012"/>
    <w:rsid w:val="006B0B73"/>
    <w:rsid w:val="006D2B94"/>
    <w:rsid w:val="006E0721"/>
    <w:rsid w:val="0070295D"/>
    <w:rsid w:val="00725755"/>
    <w:rsid w:val="0075023C"/>
    <w:rsid w:val="00750D8A"/>
    <w:rsid w:val="00764051"/>
    <w:rsid w:val="00772611"/>
    <w:rsid w:val="007741F8"/>
    <w:rsid w:val="007B0022"/>
    <w:rsid w:val="007E2E4F"/>
    <w:rsid w:val="007E3BFD"/>
    <w:rsid w:val="00807B4B"/>
    <w:rsid w:val="008144CF"/>
    <w:rsid w:val="00827663"/>
    <w:rsid w:val="00847CE1"/>
    <w:rsid w:val="00852D88"/>
    <w:rsid w:val="00857132"/>
    <w:rsid w:val="00862395"/>
    <w:rsid w:val="008853A8"/>
    <w:rsid w:val="00887778"/>
    <w:rsid w:val="008D5B57"/>
    <w:rsid w:val="008F7D99"/>
    <w:rsid w:val="00922FA7"/>
    <w:rsid w:val="00927301"/>
    <w:rsid w:val="009351E1"/>
    <w:rsid w:val="0094423A"/>
    <w:rsid w:val="00963E2E"/>
    <w:rsid w:val="009774AD"/>
    <w:rsid w:val="00980F6F"/>
    <w:rsid w:val="009A173F"/>
    <w:rsid w:val="009C479E"/>
    <w:rsid w:val="009F4245"/>
    <w:rsid w:val="009F594D"/>
    <w:rsid w:val="00A009B3"/>
    <w:rsid w:val="00A239E7"/>
    <w:rsid w:val="00A34EDA"/>
    <w:rsid w:val="00AA13D0"/>
    <w:rsid w:val="00AC0B18"/>
    <w:rsid w:val="00AC1D87"/>
    <w:rsid w:val="00AE136F"/>
    <w:rsid w:val="00AE6C82"/>
    <w:rsid w:val="00AE7A56"/>
    <w:rsid w:val="00AF0871"/>
    <w:rsid w:val="00AF530E"/>
    <w:rsid w:val="00AF5DFE"/>
    <w:rsid w:val="00B006E5"/>
    <w:rsid w:val="00B13535"/>
    <w:rsid w:val="00B24234"/>
    <w:rsid w:val="00B3219F"/>
    <w:rsid w:val="00B51D57"/>
    <w:rsid w:val="00B64D13"/>
    <w:rsid w:val="00B76725"/>
    <w:rsid w:val="00BC38D2"/>
    <w:rsid w:val="00BC65E4"/>
    <w:rsid w:val="00BE0A9F"/>
    <w:rsid w:val="00C01003"/>
    <w:rsid w:val="00C87860"/>
    <w:rsid w:val="00C92609"/>
    <w:rsid w:val="00C974A0"/>
    <w:rsid w:val="00CA0969"/>
    <w:rsid w:val="00CB7A14"/>
    <w:rsid w:val="00CD1E0A"/>
    <w:rsid w:val="00CD44C9"/>
    <w:rsid w:val="00CE40E2"/>
    <w:rsid w:val="00CE4AEB"/>
    <w:rsid w:val="00CE74CB"/>
    <w:rsid w:val="00D00B68"/>
    <w:rsid w:val="00D04E19"/>
    <w:rsid w:val="00D6644C"/>
    <w:rsid w:val="00D71F68"/>
    <w:rsid w:val="00D767F4"/>
    <w:rsid w:val="00DA07A0"/>
    <w:rsid w:val="00DB6F81"/>
    <w:rsid w:val="00DC1313"/>
    <w:rsid w:val="00DD3B82"/>
    <w:rsid w:val="00DF4F5C"/>
    <w:rsid w:val="00E43F43"/>
    <w:rsid w:val="00EE3598"/>
    <w:rsid w:val="00EE791B"/>
    <w:rsid w:val="00F040C7"/>
    <w:rsid w:val="00F04DC0"/>
    <w:rsid w:val="00F24BA1"/>
    <w:rsid w:val="00F45607"/>
    <w:rsid w:val="00F552F7"/>
    <w:rsid w:val="00F57EE2"/>
    <w:rsid w:val="00F777E1"/>
    <w:rsid w:val="00F80266"/>
    <w:rsid w:val="00F83E19"/>
    <w:rsid w:val="00FB3828"/>
    <w:rsid w:val="00FC7A52"/>
    <w:rsid w:val="00FE0761"/>
    <w:rsid w:val="00FF5166"/>
    <w:rsid w:val="06792773"/>
    <w:rsid w:val="1B4D2CCF"/>
    <w:rsid w:val="1DAF458D"/>
    <w:rsid w:val="214812CC"/>
    <w:rsid w:val="2A053397"/>
    <w:rsid w:val="2AA7503D"/>
    <w:rsid w:val="2D1136DF"/>
    <w:rsid w:val="2D283634"/>
    <w:rsid w:val="31C63837"/>
    <w:rsid w:val="3AB73691"/>
    <w:rsid w:val="3D5275AC"/>
    <w:rsid w:val="3F1B7B3C"/>
    <w:rsid w:val="44454B96"/>
    <w:rsid w:val="46901EEE"/>
    <w:rsid w:val="469C74D2"/>
    <w:rsid w:val="487712B8"/>
    <w:rsid w:val="50DB5F45"/>
    <w:rsid w:val="594553B0"/>
    <w:rsid w:val="5995212E"/>
    <w:rsid w:val="59FC7011"/>
    <w:rsid w:val="69AD798C"/>
    <w:rsid w:val="6B5A7A0E"/>
    <w:rsid w:val="6B68175F"/>
    <w:rsid w:val="6C5B596C"/>
    <w:rsid w:val="6D4A52B0"/>
    <w:rsid w:val="6F166527"/>
    <w:rsid w:val="71ED17B4"/>
    <w:rsid w:val="73FB6630"/>
    <w:rsid w:val="75A752A5"/>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1034</Words>
  <Characters>5894</Characters>
  <Lines>49</Lines>
  <Paragraphs>13</Paragraphs>
  <TotalTime>0</TotalTime>
  <ScaleCrop>false</ScaleCrop>
  <LinksUpToDate>false</LinksUpToDate>
  <CharactersWithSpaces>6915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2020-07-16T02:47:00Z</dcterms:created>
  <dc:creator>GXR</dc:creator>
  <cp:lastModifiedBy>Administrator</cp:lastModifiedBy>
  <dcterms:modified xsi:type="dcterms:W3CDTF">2021-06-22T08:21:44Z</dcterms:modified>
  <cp:revision>150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